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B3" w:rsidRDefault="001A45B3" w:rsidP="001A45B3">
      <w:pPr>
        <w:pBdr>
          <w:bottom w:val="single" w:sz="6" w:space="31" w:color="C0C0C0"/>
        </w:pBdr>
        <w:shd w:val="clear" w:color="auto" w:fill="FFFFFF"/>
        <w:jc w:val="center"/>
        <w:rPr>
          <w:rFonts w:ascii="Arial" w:eastAsia="Arial" w:hAnsi="Arial" w:cs="Arial"/>
          <w:b/>
        </w:rPr>
      </w:pPr>
      <w:r w:rsidRPr="00390B6C">
        <w:rPr>
          <w:rFonts w:ascii="Arial" w:eastAsia="Arial" w:hAnsi="Arial" w:cs="Arial"/>
          <w:b/>
        </w:rPr>
        <w:t>PLAN DE INCENTIVOS</w:t>
      </w:r>
    </w:p>
    <w:p w:rsidR="001A45B3" w:rsidRPr="00390B6C" w:rsidRDefault="001A45B3" w:rsidP="001A45B3">
      <w:pPr>
        <w:pBdr>
          <w:bottom w:val="single" w:sz="6" w:space="31" w:color="C0C0C0"/>
        </w:pBdr>
        <w:shd w:val="clear" w:color="auto" w:fill="FFFFFF"/>
        <w:jc w:val="center"/>
        <w:rPr>
          <w:rFonts w:ascii="Arial" w:eastAsia="Arial" w:hAnsi="Arial" w:cs="Arial"/>
          <w:b/>
        </w:rPr>
      </w:pPr>
      <w:r>
        <w:rPr>
          <w:rFonts w:ascii="Arial" w:eastAsia="Arial" w:hAnsi="Arial" w:cs="Arial"/>
          <w:b/>
        </w:rPr>
        <w:t>2020</w:t>
      </w:r>
    </w:p>
    <w:p w:rsidR="001A45B3" w:rsidRPr="00390B6C" w:rsidRDefault="001A45B3" w:rsidP="001A45B3">
      <w:pPr>
        <w:pBdr>
          <w:bottom w:val="single" w:sz="6" w:space="31" w:color="C0C0C0"/>
        </w:pBdr>
        <w:shd w:val="clear" w:color="auto" w:fill="FFFFFF"/>
        <w:spacing w:before="240" w:after="240"/>
        <w:jc w:val="both"/>
        <w:rPr>
          <w:rFonts w:ascii="Arial" w:eastAsia="Arial" w:hAnsi="Arial" w:cs="Arial"/>
        </w:rPr>
      </w:pPr>
      <w:r w:rsidRPr="00390B6C">
        <w:rPr>
          <w:rFonts w:ascii="Arial" w:eastAsia="Arial" w:hAnsi="Arial" w:cs="Arial"/>
        </w:rPr>
        <w:t>De acuerdo con el Decreto 1567 de 1998, el presente plan busca premiar los resultados del desempeño en niveles de excelencia. Así las cosas, el plan de incentivos se orienta a reconocer los desempeños individuales del mejor empleado de la entidad y de cada uno de los niveles jerárquicos que la conforman, así como el de los equipos de trabajo que alcancen niveles de excelencia. Para reconocer el desempeño en niveles de excelencia podrán organizarse planes de incentivos pecuniarios y planes de incentivos no pecuniarios.</w:t>
      </w:r>
    </w:p>
    <w:p w:rsidR="001A45B3" w:rsidRPr="00390B6C"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noProof/>
          <w:lang w:val="es-ES"/>
        </w:rPr>
        <w:drawing>
          <wp:inline distT="114300" distB="114300" distL="114300" distR="114300" wp14:anchorId="0326F814" wp14:editId="0907B77D">
            <wp:extent cx="3619500" cy="1943100"/>
            <wp:effectExtent l="0" t="0" r="0" b="0"/>
            <wp:docPr id="29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3619500" cy="1943100"/>
                    </a:xfrm>
                    <a:prstGeom prst="rect">
                      <a:avLst/>
                    </a:prstGeom>
                    <a:ln/>
                  </pic:spPr>
                </pic:pic>
              </a:graphicData>
            </a:graphic>
          </wp:inline>
        </w:drawing>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noProof/>
          <w:lang w:val="es-ES"/>
        </w:rPr>
        <w:drawing>
          <wp:anchor distT="0" distB="0" distL="114300" distR="114300" simplePos="0" relativeHeight="251659264" behindDoc="1" locked="0" layoutInCell="1" allowOverlap="1" wp14:anchorId="0816EDF0" wp14:editId="72B2CB25">
            <wp:simplePos x="0" y="0"/>
            <wp:positionH relativeFrom="column">
              <wp:posOffset>-22225</wp:posOffset>
            </wp:positionH>
            <wp:positionV relativeFrom="paragraph">
              <wp:posOffset>1146175</wp:posOffset>
            </wp:positionV>
            <wp:extent cx="5612130" cy="2286000"/>
            <wp:effectExtent l="0" t="0" r="7620" b="0"/>
            <wp:wrapTight wrapText="bothSides">
              <wp:wrapPolygon edited="0">
                <wp:start x="0" y="0"/>
                <wp:lineTo x="0" y="21420"/>
                <wp:lineTo x="21556" y="21420"/>
                <wp:lineTo x="21556" y="0"/>
                <wp:lineTo x="0" y="0"/>
              </wp:wrapPolygon>
            </wp:wrapTight>
            <wp:docPr id="29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12130" cy="2286000"/>
                    </a:xfrm>
                    <a:prstGeom prst="rect">
                      <a:avLst/>
                    </a:prstGeom>
                    <a:ln/>
                  </pic:spPr>
                </pic:pic>
              </a:graphicData>
            </a:graphic>
            <wp14:sizeRelH relativeFrom="page">
              <wp14:pctWidth>0</wp14:pctWidth>
            </wp14:sizeRelH>
            <wp14:sizeRelV relativeFrom="page">
              <wp14:pctHeight>0</wp14:pctHeight>
            </wp14:sizeRelV>
          </wp:anchor>
        </w:drawing>
      </w:r>
      <w:r w:rsidRPr="00816A8D">
        <w:rPr>
          <w:rFonts w:ascii="Arial" w:eastAsia="Arial" w:hAnsi="Arial" w:cs="Arial"/>
          <w:b/>
        </w:rPr>
        <w:t>Incentivos No pecuniarios:</w:t>
      </w:r>
      <w:r w:rsidRPr="00816A8D">
        <w:rPr>
          <w:rFonts w:ascii="Arial" w:eastAsia="Arial" w:hAnsi="Arial" w:cs="Arial"/>
        </w:rPr>
        <w:t xml:space="preserve">   </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Decreto en mención establece que para asignar los incentivos, las entidades deberán observar las siguientes consideraciones: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De acuerdo con el Artículo 2.2.10.9 del Decreto Nacional 1083 de 2015, el jefe de cada Entidad adoptará anualmente el plan de Incentivos institucionales y señalará en él los incentivos no pecuniarios que se ofrecerán al mejor empleado de carrera </w:t>
      </w:r>
      <w:r w:rsidRPr="00816A8D">
        <w:rPr>
          <w:rFonts w:ascii="Arial" w:eastAsia="Arial" w:hAnsi="Arial" w:cs="Arial"/>
        </w:rPr>
        <w:lastRenderedPageBreak/>
        <w:t>de la Entidad, a los mejores empleados de carrera de cada nivel jerárquico y al mejor empleado de libre nombramiento y remoción de la Entidad, así como los incentivos pecuniarios y no pecuniarios para los mejores equipos de trabajo.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Que de acuerdo con el Artículo 2.2.10.11 del Decreto Nacional 1083 de 2015, cada Entidad establecerá el procedimiento para la selección de los mejores empleados de carrera y de libre nombramiento y remoción, así como para la selección y evaluación de los equipos de trabajo y los criterios para dirimir los empates.</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b/>
        </w:rPr>
        <w:t>Objetivos específicos del Plan de Incentivos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w:t>
      </w:r>
      <w:r w:rsidRPr="00816A8D">
        <w:rPr>
          <w:rFonts w:ascii="Arial" w:eastAsia="Times New Roman" w:hAnsi="Arial" w:cs="Arial"/>
        </w:rPr>
        <w:t xml:space="preserve">         </w:t>
      </w:r>
      <w:r w:rsidRPr="00816A8D">
        <w:rPr>
          <w:rFonts w:ascii="Arial" w:eastAsia="Arial" w:hAnsi="Arial" w:cs="Arial"/>
        </w:rPr>
        <w:t>Reconocer el buen desempeño de los servidores públicos del IDIGER, proporcionando así una cultura de trabajo orientada a la calidad y productividad bajo el esquema de mayor compromiso con los objetivos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rPr>
        <w:t>·</w:t>
      </w:r>
      <w:r w:rsidRPr="00816A8D">
        <w:rPr>
          <w:rFonts w:ascii="Arial" w:eastAsia="Times New Roman" w:hAnsi="Arial" w:cs="Arial"/>
        </w:rPr>
        <w:t xml:space="preserve">         </w:t>
      </w:r>
      <w:r w:rsidRPr="00816A8D">
        <w:rPr>
          <w:rFonts w:ascii="Arial" w:eastAsia="Arial" w:hAnsi="Arial" w:cs="Arial"/>
        </w:rPr>
        <w:t>Establecer, afianzar y desarrollar parámetros técnicos claros que permitan seleccionar en forma objetiva, confiable y oportuna el mejor funcionario de cada nivel administrativo y el mejor funcionario del Departamento.</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Prerrequisitos</w:t>
      </w:r>
      <w:r w:rsidRPr="00816A8D">
        <w:rPr>
          <w:rFonts w:ascii="Arial" w:eastAsia="Arial" w:hAnsi="Arial" w:cs="Arial"/>
        </w:rPr>
        <w:t xml:space="preserve"> </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Para participar de los incentivos institucionales, según lo establecido en el artículo 80 del Decreto 1227 de 2005, los funcionarios deberán cumplir los siguientes prerrequisitos:</w:t>
      </w:r>
      <w:r w:rsidRPr="00816A8D">
        <w:rPr>
          <w:rFonts w:ascii="Arial" w:eastAsia="Arial" w:hAnsi="Arial" w:cs="Arial"/>
          <w:noProof/>
          <w:lang w:val="es-ES"/>
        </w:rPr>
        <w:drawing>
          <wp:inline distT="114300" distB="114300" distL="114300" distR="114300" wp14:anchorId="50283983" wp14:editId="32333F44">
            <wp:extent cx="5591175" cy="2428875"/>
            <wp:effectExtent l="0" t="0" r="0" b="0"/>
            <wp:docPr id="30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a:stretch>
                      <a:fillRect/>
                    </a:stretch>
                  </pic:blipFill>
                  <pic:spPr>
                    <a:xfrm>
                      <a:off x="0" y="0"/>
                      <a:ext cx="5591175" cy="2428875"/>
                    </a:xfrm>
                    <a:prstGeom prst="rect">
                      <a:avLst/>
                    </a:prstGeom>
                    <a:ln/>
                  </pic:spPr>
                </pic:pic>
              </a:graphicData>
            </a:graphic>
          </wp:inline>
        </w:drawing>
      </w:r>
      <w:r w:rsidRPr="00816A8D">
        <w:rPr>
          <w:rFonts w:ascii="Arial" w:eastAsia="Arial" w:hAnsi="Arial" w:cs="Arial"/>
        </w:rPr>
        <w:t xml:space="preserve"> </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b/>
        </w:rPr>
        <w:t>Destinatarios de los incentivos en el IDIGER</w:t>
      </w:r>
    </w:p>
    <w:p w:rsidR="001A45B3" w:rsidRPr="00816A8D" w:rsidRDefault="001A45B3" w:rsidP="001A45B3">
      <w:pPr>
        <w:pBdr>
          <w:bottom w:val="single" w:sz="6" w:space="31" w:color="C0C0C0"/>
        </w:pBdr>
        <w:shd w:val="clear" w:color="auto" w:fill="FFFFFF"/>
        <w:spacing w:before="240" w:after="240"/>
        <w:jc w:val="both"/>
        <w:rPr>
          <w:rFonts w:ascii="Arial" w:eastAsia="Times New Roman" w:hAnsi="Arial" w:cs="Arial"/>
        </w:rPr>
      </w:pPr>
      <w:r w:rsidRPr="00816A8D">
        <w:rPr>
          <w:rFonts w:ascii="Arial" w:eastAsia="Arial" w:hAnsi="Arial" w:cs="Arial"/>
        </w:rPr>
        <w:t>El IDIGER reconocerá mediante incentivos no pecuniarios, los niveles de excelencia de:</w:t>
      </w:r>
      <w:r w:rsidRPr="00816A8D">
        <w:rPr>
          <w:rFonts w:ascii="Arial" w:eastAsia="Times New Roman" w:hAnsi="Arial" w:cs="Arial"/>
        </w:rPr>
        <w:t xml:space="preserve">         </w:t>
      </w:r>
    </w:p>
    <w:p w:rsidR="001A45B3" w:rsidRPr="00816A8D" w:rsidRDefault="001A45B3" w:rsidP="001A45B3">
      <w:pPr>
        <w:pBdr>
          <w:bottom w:val="single" w:sz="6" w:space="31" w:color="C0C0C0"/>
        </w:pBdr>
        <w:shd w:val="clear" w:color="auto" w:fill="FFFFFF"/>
        <w:spacing w:before="240" w:after="240"/>
        <w:jc w:val="both"/>
        <w:rPr>
          <w:rFonts w:ascii="Arial" w:eastAsia="Times New Roman" w:hAnsi="Arial" w:cs="Arial"/>
        </w:rPr>
      </w:pPr>
      <w:r w:rsidRPr="00816A8D">
        <w:rPr>
          <w:rFonts w:ascii="Arial" w:eastAsia="Arial" w:hAnsi="Arial" w:cs="Arial"/>
        </w:rPr>
        <w:t>El mejor empleado de carrera administrativa de la Entidad</w:t>
      </w:r>
      <w:r w:rsidRPr="00816A8D">
        <w:rPr>
          <w:rFonts w:ascii="Arial" w:eastAsia="Times New Roman" w:hAnsi="Arial" w:cs="Arial"/>
        </w:rPr>
        <w:t xml:space="preserve">        </w:t>
      </w:r>
    </w:p>
    <w:p w:rsidR="001A45B3" w:rsidRPr="00816A8D" w:rsidRDefault="001A45B3" w:rsidP="001A45B3">
      <w:pPr>
        <w:pBdr>
          <w:bottom w:val="single" w:sz="6" w:space="31" w:color="C0C0C0"/>
        </w:pBdr>
        <w:shd w:val="clear" w:color="auto" w:fill="FFFFFF"/>
        <w:spacing w:before="240" w:after="240"/>
        <w:jc w:val="both"/>
        <w:rPr>
          <w:rFonts w:ascii="Arial" w:eastAsia="Times New Roman" w:hAnsi="Arial" w:cs="Arial"/>
        </w:rPr>
      </w:pPr>
      <w:r w:rsidRPr="00816A8D">
        <w:rPr>
          <w:rFonts w:ascii="Arial" w:eastAsia="Arial" w:hAnsi="Arial" w:cs="Arial"/>
        </w:rPr>
        <w:lastRenderedPageBreak/>
        <w:t>El mejor empleado de libre nombramiento y remoción (gerentes y nivel asesor)</w:t>
      </w:r>
      <w:r w:rsidRPr="00816A8D">
        <w:rPr>
          <w:rFonts w:ascii="Arial" w:eastAsia="Times New Roman" w:hAnsi="Arial" w:cs="Arial"/>
        </w:rPr>
        <w:t xml:space="preserve">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El mejor empleado de carrera administrativa del nivel profesional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mejor empleado de carrera administrativa del nivel técnico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El mejor empleado de carrera administrativa del nivel asistencial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Instituto Distrital de Gestión de Riesgos y Cambio Climático, pondrá a disposición de los seleccionados como mejor funcionario de la entidad y mejores funcionarios por nivel jerárquico los siguientes incentivos: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Educación Formal</w:t>
      </w:r>
      <w:r w:rsidRPr="00816A8D">
        <w:rPr>
          <w:rFonts w:ascii="Arial" w:eastAsia="Arial" w:hAnsi="Arial" w:cs="Arial"/>
        </w:rPr>
        <w:t xml:space="preserve">: Este incentivo podrá otorgarse en cualquier modalidad y nivel académico al interior del país, a elección del funcionario seleccionado, siempre que corresponda a este tipo de formación y el plan de educación esté debidamente aprobado y reconocido por las autoridades competentes.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Cuando se trate de adelantar estudios de idiomas extranjeros, el empleado seleccionado elegirá el idioma de su interés para estudiarlo o perfeccionarlo, de acuerdo con el nivel para el cual sea admitido en una institución debidamente aprobada y reconocida por las autoridades competentes.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La asignación del incentivo se sujeta a la admisión del empleado en el establecimiento educativo correspondiente y en caso de no ser admitido podrá optar por otro incentivo, dentro de la misma vigencia fiscal. Los trámites de admisión académica a las instituciones educativas correrán a cargo del beneficiario del incentivo.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Participación en proyectos especiales</w:t>
      </w:r>
      <w:r w:rsidRPr="00816A8D">
        <w:rPr>
          <w:rFonts w:ascii="Arial" w:eastAsia="Arial" w:hAnsi="Arial" w:cs="Arial"/>
        </w:rPr>
        <w:t>: Este incentivo está dirigido a fomentar y apoyar económicamente la participación activa y el desarrollo de trabajos individuales o colectivos, que involucren a la Entidad u otras entidades, enmarcados en el Plan de Desarrollo y que generen valor agregado.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Publicación de trabajos en medios de circulación nacional e internacional:</w:t>
      </w:r>
      <w:r w:rsidRPr="00816A8D">
        <w:rPr>
          <w:rFonts w:ascii="Arial" w:eastAsia="Arial" w:hAnsi="Arial" w:cs="Arial"/>
        </w:rPr>
        <w:t xml:space="preserve"> Pueden ser de carácter institucional o de interés personal. Los trámites necesarios para la correspondiente publicación estarán a cargo del empleado que elija este tipo de incentivo.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Financiación de investigaciones:</w:t>
      </w:r>
      <w:r w:rsidRPr="00816A8D">
        <w:rPr>
          <w:rFonts w:ascii="Arial" w:eastAsia="Arial" w:hAnsi="Arial" w:cs="Arial"/>
        </w:rPr>
        <w:t xml:space="preserve"> Está orientado a fomentar la investigación de carácter institucional o particular, evento en el cual, los contactos y demás trámites necesarios para su realización estarán a cargo del servidor que elija este tipo de incentivo, sin perjuicio del cumplimiento de las funciones y horario de trabajo fijado en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lastRenderedPageBreak/>
        <w:t>Programas de Turismo Social</w:t>
      </w:r>
      <w:r w:rsidRPr="00816A8D">
        <w:rPr>
          <w:rFonts w:ascii="Arial" w:eastAsia="Arial" w:hAnsi="Arial" w:cs="Arial"/>
        </w:rPr>
        <w:t>: Pueden ser tomados en el país o en el exterior; en todo caso el reconocimiento es hasta por el monto previsto en esta resolución para los incentivos institucionales adoptados.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Con el propósito de exaltar y destacar el desempeño y la labor realizada por los empleados de carrera administrativa que hayan sido seleccionados por haber alcanzado el nivel de excelencia, se harán reconocimientos especiales, mediante la divulgación y publicación en los diferentes medios de comunicación interna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Times New Roman" w:hAnsi="Arial" w:cs="Arial"/>
        </w:rPr>
        <w:t xml:space="preserve"> </w:t>
      </w:r>
      <w:r w:rsidRPr="00816A8D">
        <w:rPr>
          <w:rFonts w:ascii="Arial" w:eastAsia="Arial" w:hAnsi="Arial" w:cs="Arial"/>
        </w:rPr>
        <w:t>El otorgamiento de los incentivos relacionados con educación formal, participación en proyectos especiales, investigación y publicación de trabajos, deberán relacionarse con temas afines a las funciones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Aspectos a tener en cuenta para el reconocimiento de los incentivos no pecuniarios a mejores servidores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Las sumas a reconocer por concepto de los incentivos no pecuniarios, se girarán directamente a los establecimientos educativos en el caso de la educación formal, a las agencias de turismo legalmente constituidas en los casos de turismo social y a las empresas con las que se contrate la publicación o a los agentes o instituciones que intervengan en el caso de la financiación de investigaciones.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Para el reconocimiento del incentivo, el beneficiario deberá entregar mediante oficio dirigido a la Subdirección Corporativa y Asuntos Disciplinarios, la cotización expedida por la firma o entidad con la cual hará uso del incentivo o el recibo de inscripción de matrícula de la institución educativa, indicando el incentivo seleccionado, con las instrucciones correspondientes para el giro.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La orden de pago se hará a nombre del beneficiario del incentivo y el giro se realizará de acuerdo con la solicitud del mismo a la empresa o entidad que corresponda.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Por ningún motivo el incentivo podrá superar el presupuesto asignado en el presente plan; en caso de que se presenten valores adicionales, el excedente deberá ser asumido por el servidor público.</w:t>
      </w:r>
    </w:p>
    <w:p w:rsidR="001A45B3" w:rsidRPr="00816A8D" w:rsidRDefault="001A45B3" w:rsidP="001A45B3">
      <w:pPr>
        <w:pBdr>
          <w:bottom w:val="single" w:sz="6" w:space="31" w:color="C0C0C0"/>
        </w:pBdr>
        <w:shd w:val="clear" w:color="auto" w:fill="FFFFFF"/>
        <w:spacing w:before="240" w:after="240"/>
        <w:jc w:val="both"/>
        <w:rPr>
          <w:rFonts w:ascii="Arial" w:eastAsia="Times New Roman" w:hAnsi="Arial" w:cs="Arial"/>
        </w:rPr>
      </w:pPr>
      <w:r w:rsidRPr="00816A8D">
        <w:rPr>
          <w:rFonts w:ascii="Arial" w:eastAsia="Arial" w:hAnsi="Arial" w:cs="Arial"/>
        </w:rPr>
        <w:t>• Los beneficiarios a quienes se les otorgue el incentivo de turismo social o de educación formal, deberán utilizarlo en tiempo y horario diferentes al laboral.</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rPr>
        <w:t>• El plazo máximo para el disfrute del incentivo será de un año, contado a partir de la fecha de comunicación por parte de la Subdirección Corporativa y Asuntos Disciplinarios.</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lastRenderedPageBreak/>
        <w:t>Monto de los Incentivos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Para la vigencia 2020, se entregarán $1.500.000 a los mejores funcionarios de carrera administrativa de los niveles profesional, técnico y asistencial, y de libre nombramiento y remoción (gerentes públicos y asesores). Para aquel que a su vez sea seleccionado como el mejor servidor público de la entidad, se adicionará el premio en $500.000, para un total en incentivos no pecuniarios por valor de $8.000.000.</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rPr>
        <w:t>Esta suma se cancelará con cargo al rubro 3-1-2-02-02-07 de  Bienestar e Incentivos.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b/>
        </w:rPr>
        <w:t>Procedimiento de selección</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La comisión de personal, durante la reunión posterior a la publicación del informe de Evaluación del Desempeño por parte del proceso de Gestión de Talento Humano, deberá seleccionar a los mejores empleados de la Entidad, consignando en el acta los criterios y resultados obtenidos de la evaluación. Para tal fin, adelantará el siguiente procedimiento: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b/>
        </w:rPr>
        <w:t>Mejor empleado de cada nivel jerárquico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w:t>
      </w:r>
      <w:r w:rsidRPr="00816A8D">
        <w:rPr>
          <w:rFonts w:ascii="Arial" w:eastAsia="Times New Roman" w:hAnsi="Arial" w:cs="Arial"/>
        </w:rPr>
        <w:t xml:space="preserve">         </w:t>
      </w:r>
      <w:r w:rsidRPr="00816A8D">
        <w:rPr>
          <w:rFonts w:ascii="Arial" w:eastAsia="Arial" w:hAnsi="Arial" w:cs="Arial"/>
        </w:rPr>
        <w:t>Con base en el informe mencionado, se seleccionarán los mejores empleados de cada nivel, entre quienes se encuentren en el nivel sobresaliente</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w:t>
      </w:r>
      <w:r w:rsidRPr="00816A8D">
        <w:rPr>
          <w:rFonts w:ascii="Arial" w:eastAsia="Times New Roman" w:hAnsi="Arial" w:cs="Arial"/>
        </w:rPr>
        <w:t xml:space="preserve">         </w:t>
      </w:r>
      <w:r w:rsidRPr="00816A8D">
        <w:rPr>
          <w:rFonts w:ascii="Arial" w:eastAsia="Arial" w:hAnsi="Arial" w:cs="Arial"/>
        </w:rPr>
        <w:t>En caso de presentarse empate en el puntaje obtenido por dos o más empleados del mismo nivel, se identificará a los empleados que demuestren su participación activa en comités o actividades tales como brigadas, gestores de integridad, COPASST, convivencia laboral, lo cual se evidenciará a través de las actas de reuniones y los resultados presentados por cada uno de los comités.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i/>
        </w:rPr>
      </w:pPr>
      <w:r w:rsidRPr="00816A8D">
        <w:rPr>
          <w:rFonts w:ascii="Arial" w:eastAsia="Arial" w:hAnsi="Arial" w:cs="Arial"/>
        </w:rPr>
        <w:t>·</w:t>
      </w:r>
      <w:r w:rsidRPr="00816A8D">
        <w:rPr>
          <w:rFonts w:ascii="Arial" w:eastAsia="Times New Roman" w:hAnsi="Arial" w:cs="Arial"/>
        </w:rPr>
        <w:t xml:space="preserve">         </w:t>
      </w:r>
      <w:r w:rsidRPr="00816A8D">
        <w:rPr>
          <w:rFonts w:ascii="Arial" w:eastAsia="Arial" w:hAnsi="Arial" w:cs="Arial"/>
        </w:rPr>
        <w:t>Si persiste el empate, éste se dirimirá mediante sorteo, adelantado por la comisión de personal, lo cual quedará consignado en el acta respectiva.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Mejor empleado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mejor empleado de carrera, será quien tenga la más alta calificación, entre los seleccionados como los mejores de cada nivel, una vez surtido el procedimiento anterior.</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En caso de que se presente empate en la selección del mejor empleado de carrera, el área de Gestión de Talento Humano realizará sorteo en presencia de la comisión de personal.</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lastRenderedPageBreak/>
        <w:t>Selección de los Incentivos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empleados seleccionados como los mejores tendrán derecho de escoger entre los incentivos no pecuniarios previstos en el presente Plan, el que sea de su preferencia, a más tardar cinco días después del recibo de la comunicación en la que se le notifica que ha sido seleccionado.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rPr>
        <w:t>En ningún caso el incentivo no pecuniario podrá ser convertido en incentivo pecuniario o viceversa.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Acto administrativo de Asignación de los Incentivos</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Mediante acto administrativo proferido por la Dirección del Instituto Distrital de Gestión de Riesgos y Cambio Climático - IDIGER, se asignarán los incentivos previstos en el Plan de Incentivos adoptado de acuerdo con la elección de cada uno </w:t>
      </w:r>
      <w:proofErr w:type="spellStart"/>
      <w:r w:rsidRPr="00816A8D">
        <w:rPr>
          <w:rFonts w:ascii="Arial" w:eastAsia="Arial" w:hAnsi="Arial" w:cs="Arial"/>
        </w:rPr>
        <w:t>e</w:t>
      </w:r>
      <w:proofErr w:type="spellEnd"/>
      <w:r w:rsidRPr="00816A8D">
        <w:rPr>
          <w:rFonts w:ascii="Arial" w:eastAsia="Arial" w:hAnsi="Arial" w:cs="Arial"/>
        </w:rPr>
        <w:t xml:space="preserve"> los seleccionados.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Divulgación de resultados y entrega del Incentivo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A más tardar en el mes de noviembre de 2020, se divulgarán a través de los medios de comunicación interna, los nombres de quienes fueron seleccionados como los mejores empleados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r w:rsidRPr="00816A8D">
        <w:rPr>
          <w:rFonts w:ascii="Arial" w:eastAsia="Arial" w:hAnsi="Arial" w:cs="Arial"/>
        </w:rPr>
        <w:t>En el acto de proclamación y entrega de los incentivos, los funcionarios tendrán además del premio seleccionado, un reconocimiento público, una mención de honor con copia a la hoja de vida.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Condiciones para el uso del Incentivo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Adicional a las establecidas en la descripción de cada uno de los incentivos no pecuniarios, relacionada anteriormente, se deben tener en cuenta las siguientes condiciones para el uso del Incentivo: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Times New Roman" w:hAnsi="Arial" w:cs="Arial"/>
        </w:rPr>
        <w:t xml:space="preserve">El </w:t>
      </w:r>
      <w:r w:rsidRPr="00816A8D">
        <w:rPr>
          <w:rFonts w:ascii="Arial" w:eastAsia="Arial" w:hAnsi="Arial" w:cs="Arial"/>
        </w:rPr>
        <w:t>Instituto Distrital de Gestión de Riesgos y Cambio Climático - IDIGER, no entregará en ningún caso sumas en efectivo o cheques a los Servidores Públicos beneficiarios.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otorgamiento de los incentivos relacionados con educación formal, participación en proyectos especiales, investigación y publicación de trabajos, deberán relacionarse con temas afines a las funciones del IDIGER y en todo caso estar sometidas a las condiciones de publicación que establezca el respectivo medio de circulación.</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IDIGER girará las sumas correspondientes a las entidades educativas, de turismo social, editoriales o prestadoras de los servicios a que hubiere lugar, empresas o entidades legalmente constituidas.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lastRenderedPageBreak/>
        <w:t>Incentivos no pecuniarios a los Gerentes Públicos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La Guía Metodológica del Departamento Administrativo de la Función Pública, determina las condiciones y escala de calificación que viabilizan el acceso al nivel sobresaliente por parte de los Gerentes Públicos; un resumen de lo allí expuesto implica: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Para acceder al nivel sobresaliente, el gerente público debió al inicio del proceso, en la concertación y formalización de los Compromisos Gerenciales, optar por un 5% adicional que permitiera determinar en la etapa de evaluación, si con su gestión, cumplimiento y resultados supera el desempeño esperado establecido en una base del 100%.</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Sólo de haberse cumplido el 100% de lo establecido en el Acuerdo de Gestión (Acuerdos Gerenciales y Competencias) y dar cumplimiento a lo pactado como porcentaje adicional (5%), el servidor podrá ser sujeto de reconocimiento.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Ello implica que el resultado definitivo de su gestión, se ubique entre el 101 y el 105%, para que así, pueda acceder al reconocimiento.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Frente a estos resultados y a través de las Preguntas Frecuentes en materia de Acuerdos de Gestión, El Departamento Administrativo de la Función Pública ha señalado: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Reconocimiento al gerente público: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a. ¿Qué tipos de reconocimientos pueden otorgarse a los gerentes públicos?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La Función Pública sugiere que los reconocimientos a los gerentes públicos sean no pecuniarios logrando motivar la excelencia de la gestión del gerente público. Ejemplo: Reconocimiento público institucional o sectorial, publicación de artículos, entre otros.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b. ¿Si un gerente no logra el 100% de sus metas puede alcanzar en algún compromiso un factor adicional?</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factores adicionales sólo se reconocerán con el cumplimiento del 100% de los compromisos gerenciales concertados logrando la excelencia en la administración pública”</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b/>
        </w:rPr>
      </w:pPr>
      <w:bookmarkStart w:id="0" w:name="_GoBack"/>
      <w:bookmarkEnd w:id="0"/>
      <w:r w:rsidRPr="00816A8D">
        <w:rPr>
          <w:rFonts w:ascii="Arial" w:eastAsia="Arial" w:hAnsi="Arial" w:cs="Arial"/>
          <w:b/>
        </w:rPr>
        <w:t>Incentivos a mejores equipos de trabajo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lastRenderedPageBreak/>
        <w:t xml:space="preserve">Aspectos a tener en cuenta para competir por los incentivos el mejor equipo de trabajo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Los siguientes son los requisitos y aspectos que los equipos de trabajo deberán tener en cuenta para competir por los incentivos e inscribir los proyectos: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equipos de trabajo estarán conformados por mínimo cuatro (4) y máximo seis (6) servidores públicos, que deberán ser empleados de carrera administrativa y/o libre nombramiento y remoción, éstos últimos hasta el nivel profesional inclusive.</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integrantes del equipo de trabajo pueden ser servidores de una misma dependencia o de distintas dependencias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La permanencia de los integrantes del equipo de trabajo estará ligada a la vinculación directa con la Entidad y durante el periodo de desarrollo del proyecto presentado.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En caso de que durante la etapa de ejecución del proyecto algún integrante del equipo de trabajo cambie su vinculación de carrera administrativa a libre nombramiento remoción diferente a nivel asistencial, técnico, profesional o asistencial, dejará de ser parte del equipo de trabajo y no podrá participar en los incentivos; si los demás integrantes del equipo así lo consideran, podrán reemplazarlo por otro servidor que llene los requisitos para participar en el proceso, e informar de inmediato por escrito a la Subdirección Corporativa y Asuntos Disciplinarios.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equipo debe inscribir ante la Subdirección Corporativa y Asuntos Disciplinaria un proyecto para ser desarrollado, cumpliendo con la metodología definida por la Oficina Asesora de Planeación de la Entidad.</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Para ser evaluado el proyecto, este debe haber terminado.</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resultados del trabajo presentado deben mostrar aportes significativos al servicio que ofrece la Entidad o a los procesos de la misma.</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resultados del proyecto deben sustentarse en audiencia pública ante los servidores de la Entidad y el equipo evaluador.</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Los proyectos serán calificados por el equipo evaluador cuyos integrantes serán definidos por la Dirección de la entidad y los equipos de trabajo ganadores serán seleccionados en estricto orden de mérito, con base en las evaluaciones obtenidas.</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 xml:space="preserve">Convocatoria </w:t>
      </w: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 xml:space="preserve">En el primer trimestre de 2020, una vez adoptado el Plan de Bienestar Social e Incentivos y definida la metodología para la presentación, formulación, ejecución y </w:t>
      </w:r>
      <w:r w:rsidRPr="00816A8D">
        <w:rPr>
          <w:rFonts w:ascii="Arial" w:eastAsia="Arial" w:hAnsi="Arial" w:cs="Arial"/>
        </w:rPr>
        <w:lastRenderedPageBreak/>
        <w:t xml:space="preserve">evaluación de los proyectos de equipos de trabajo por parte de la Oficina Asesora de Planeación, la Subdirección Corporativa y Asuntos Disciplinaria elaborará el cronograma y realizará la convocatoria para recibir la postulación de proyectos de equipos de trabajo. </w:t>
      </w:r>
    </w:p>
    <w:p w:rsidR="001A45B3" w:rsidRDefault="001A45B3" w:rsidP="001A45B3">
      <w:pPr>
        <w:pBdr>
          <w:bottom w:val="single" w:sz="6" w:space="31" w:color="C0C0C0"/>
        </w:pBdr>
        <w:shd w:val="clear" w:color="auto" w:fill="FFFFFF"/>
        <w:spacing w:before="240" w:after="240"/>
        <w:jc w:val="both"/>
        <w:rPr>
          <w:rFonts w:ascii="Arial" w:eastAsia="Arial" w:hAnsi="Arial" w:cs="Arial"/>
          <w:b/>
        </w:rPr>
      </w:pPr>
    </w:p>
    <w:p w:rsidR="001A45B3" w:rsidRPr="00816A8D"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b/>
        </w:rPr>
        <w:t>Monto de los incentivos para los mejores equipos de trabajo</w:t>
      </w:r>
    </w:p>
    <w:p w:rsidR="001A45B3" w:rsidRDefault="001A45B3" w:rsidP="001A45B3">
      <w:pPr>
        <w:pBdr>
          <w:bottom w:val="single" w:sz="6" w:space="31" w:color="C0C0C0"/>
        </w:pBdr>
        <w:shd w:val="clear" w:color="auto" w:fill="FFFFFF"/>
        <w:spacing w:before="240" w:after="240"/>
        <w:jc w:val="both"/>
        <w:rPr>
          <w:rFonts w:ascii="Arial" w:eastAsia="Arial" w:hAnsi="Arial" w:cs="Arial"/>
        </w:rPr>
      </w:pPr>
      <w:r w:rsidRPr="00816A8D">
        <w:rPr>
          <w:rFonts w:ascii="Arial" w:eastAsia="Arial" w:hAnsi="Arial" w:cs="Arial"/>
        </w:rPr>
        <w:t>El monto de los incentivos para el mejor equipo de trabajo para la vigencia 2020, será de Seis millones de pesos M/CTE ($6.000.000), distribuido en partes iguales para sus miembros.</w:t>
      </w:r>
    </w:p>
    <w:p w:rsidR="008870C9" w:rsidRPr="001A45B3" w:rsidRDefault="008870C9" w:rsidP="008870C9">
      <w:pPr>
        <w:jc w:val="both"/>
        <w:rPr>
          <w:rFonts w:ascii="Arial" w:hAnsi="Arial" w:cs="Arial"/>
          <w:color w:val="000000"/>
          <w:sz w:val="22"/>
          <w:szCs w:val="22"/>
        </w:rPr>
      </w:pPr>
    </w:p>
    <w:sectPr w:rsidR="008870C9" w:rsidRPr="001A45B3" w:rsidSect="00D8445C">
      <w:headerReference w:type="default" r:id="rId10"/>
      <w:footerReference w:type="default" r:id="rId11"/>
      <w:pgSz w:w="12240" w:h="15840"/>
      <w:pgMar w:top="1929" w:right="1701" w:bottom="1417" w:left="1701" w:header="716"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4E" w:rsidRDefault="000D1D4E" w:rsidP="00D8445C">
      <w:r>
        <w:separator/>
      </w:r>
    </w:p>
  </w:endnote>
  <w:endnote w:type="continuationSeparator" w:id="0">
    <w:p w:rsidR="000D1D4E" w:rsidRDefault="000D1D4E" w:rsidP="00D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6639A5">
    <w:pPr>
      <w:pStyle w:val="Piedepgina"/>
    </w:pPr>
    <w:r>
      <w:rPr>
        <w:noProof/>
        <w:lang w:val="es-ES" w:eastAsia="es-ES"/>
      </w:rPr>
      <w:drawing>
        <wp:anchor distT="0" distB="0" distL="114300" distR="114300" simplePos="0" relativeHeight="251664384" behindDoc="0" locked="0" layoutInCell="1" allowOverlap="1">
          <wp:simplePos x="0" y="0"/>
          <wp:positionH relativeFrom="column">
            <wp:posOffset>-613447</wp:posOffset>
          </wp:positionH>
          <wp:positionV relativeFrom="paragraph">
            <wp:posOffset>-535305</wp:posOffset>
          </wp:positionV>
          <wp:extent cx="6875334" cy="7530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1-03 a la(s) 2.40.17 p. m..png"/>
                  <pic:cNvPicPr/>
                </pic:nvPicPr>
                <pic:blipFill>
                  <a:blip r:embed="rId1">
                    <a:extLst>
                      <a:ext uri="{28A0092B-C50C-407E-A947-70E740481C1C}">
                        <a14:useLocalDpi xmlns:a14="http://schemas.microsoft.com/office/drawing/2010/main" val="0"/>
                      </a:ext>
                    </a:extLst>
                  </a:blip>
                  <a:stretch>
                    <a:fillRect/>
                  </a:stretch>
                </pic:blipFill>
                <pic:spPr>
                  <a:xfrm>
                    <a:off x="0" y="0"/>
                    <a:ext cx="6875334" cy="7530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4E" w:rsidRDefault="000D1D4E" w:rsidP="00D8445C">
      <w:r>
        <w:separator/>
      </w:r>
    </w:p>
  </w:footnote>
  <w:footnote w:type="continuationSeparator" w:id="0">
    <w:p w:rsidR="000D1D4E" w:rsidRDefault="000D1D4E" w:rsidP="00D8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826BEB">
    <w:pPr>
      <w:pStyle w:val="Encabezado"/>
    </w:pPr>
    <w:r>
      <w:rPr>
        <w:noProof/>
        <w:lang w:val="es-ES" w:eastAsia="es-ES"/>
      </w:rPr>
      <w:drawing>
        <wp:anchor distT="0" distB="0" distL="114300" distR="114300" simplePos="0" relativeHeight="251663360" behindDoc="0" locked="0" layoutInCell="1" allowOverlap="1">
          <wp:simplePos x="0" y="0"/>
          <wp:positionH relativeFrom="column">
            <wp:posOffset>1276985</wp:posOffset>
          </wp:positionH>
          <wp:positionV relativeFrom="paragraph">
            <wp:posOffset>8890</wp:posOffset>
          </wp:positionV>
          <wp:extent cx="3146612" cy="57428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1-03 a la(s) 2.05.20 p. m..png"/>
                  <pic:cNvPicPr/>
                </pic:nvPicPr>
                <pic:blipFill>
                  <a:blip r:embed="rId1">
                    <a:extLst>
                      <a:ext uri="{28A0092B-C50C-407E-A947-70E740481C1C}">
                        <a14:useLocalDpi xmlns:a14="http://schemas.microsoft.com/office/drawing/2010/main" val="0"/>
                      </a:ext>
                    </a:extLst>
                  </a:blip>
                  <a:stretch>
                    <a:fillRect/>
                  </a:stretch>
                </pic:blipFill>
                <pic:spPr>
                  <a:xfrm>
                    <a:off x="0" y="0"/>
                    <a:ext cx="3146612" cy="574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A5E62"/>
    <w:multiLevelType w:val="hybridMultilevel"/>
    <w:tmpl w:val="5DD05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5C"/>
    <w:rsid w:val="000D1D4E"/>
    <w:rsid w:val="00110ACC"/>
    <w:rsid w:val="001567C8"/>
    <w:rsid w:val="001A45B3"/>
    <w:rsid w:val="001A4CDC"/>
    <w:rsid w:val="00215E14"/>
    <w:rsid w:val="002265F9"/>
    <w:rsid w:val="002372B9"/>
    <w:rsid w:val="00261316"/>
    <w:rsid w:val="00296665"/>
    <w:rsid w:val="002D2DA0"/>
    <w:rsid w:val="0032273F"/>
    <w:rsid w:val="003E6538"/>
    <w:rsid w:val="00425365"/>
    <w:rsid w:val="00442A2B"/>
    <w:rsid w:val="004925A5"/>
    <w:rsid w:val="004C4FAB"/>
    <w:rsid w:val="00564D60"/>
    <w:rsid w:val="006047A6"/>
    <w:rsid w:val="006639A5"/>
    <w:rsid w:val="006A27B1"/>
    <w:rsid w:val="00701DD3"/>
    <w:rsid w:val="00826BEB"/>
    <w:rsid w:val="00851D76"/>
    <w:rsid w:val="00864530"/>
    <w:rsid w:val="00872A79"/>
    <w:rsid w:val="008870C9"/>
    <w:rsid w:val="008B44E8"/>
    <w:rsid w:val="00942B92"/>
    <w:rsid w:val="009A4EC9"/>
    <w:rsid w:val="009E2B81"/>
    <w:rsid w:val="00A35FAE"/>
    <w:rsid w:val="00A54284"/>
    <w:rsid w:val="00AA7BDA"/>
    <w:rsid w:val="00B76EDD"/>
    <w:rsid w:val="00BA00B6"/>
    <w:rsid w:val="00C14FA5"/>
    <w:rsid w:val="00C31F3D"/>
    <w:rsid w:val="00CA6FB9"/>
    <w:rsid w:val="00D11200"/>
    <w:rsid w:val="00D8445C"/>
    <w:rsid w:val="00E61747"/>
    <w:rsid w:val="00F65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05352-F9C2-194F-8FD0-CF6395D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14"/>
    <w:rPr>
      <w:rFonts w:ascii="Cambria" w:eastAsia="MS Mincho" w:hAnsi="Cambria" w:cs="Times New Roman"/>
    </w:rPr>
  </w:style>
  <w:style w:type="paragraph" w:styleId="Ttulo2">
    <w:name w:val="heading 2"/>
    <w:basedOn w:val="Normal"/>
    <w:next w:val="Normal"/>
    <w:link w:val="Ttulo2Car"/>
    <w:qFormat/>
    <w:rsid w:val="00215E14"/>
    <w:pPr>
      <w:keepNext/>
      <w:outlineLvl w:val="1"/>
    </w:pPr>
    <w:rPr>
      <w:rFonts w:ascii="Arial" w:eastAsia="Batang" w:hAnsi="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rsid w:val="00215E14"/>
    <w:pPr>
      <w:spacing w:line="240" w:lineRule="atLeast"/>
      <w:jc w:val="both"/>
    </w:pPr>
    <w:rPr>
      <w:rFonts w:ascii="Garamond" w:eastAsia="Times New Roman" w:hAnsi="Garamond"/>
      <w:kern w:val="18"/>
      <w:sz w:val="20"/>
      <w:szCs w:val="20"/>
      <w:lang w:val="es-ES" w:eastAsia="es-ES"/>
    </w:rPr>
  </w:style>
  <w:style w:type="character" w:styleId="Hipervnculo">
    <w:name w:val="Hyperlink"/>
    <w:basedOn w:val="Fuentedeprrafopredeter"/>
    <w:uiPriority w:val="99"/>
    <w:unhideWhenUsed/>
    <w:rsid w:val="008870C9"/>
    <w:rPr>
      <w:color w:val="0563C1" w:themeColor="hyperlink"/>
      <w:u w:val="single"/>
    </w:rPr>
  </w:style>
  <w:style w:type="paragraph" w:styleId="Prrafodelista">
    <w:name w:val="List Paragraph"/>
    <w:basedOn w:val="Normal"/>
    <w:uiPriority w:val="34"/>
    <w:qFormat/>
    <w:rsid w:val="00AA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Claudia Gomez Morales</cp:lastModifiedBy>
  <cp:revision>3</cp:revision>
  <dcterms:created xsi:type="dcterms:W3CDTF">2020-01-30T01:42:00Z</dcterms:created>
  <dcterms:modified xsi:type="dcterms:W3CDTF">2020-01-30T01:45:00Z</dcterms:modified>
</cp:coreProperties>
</file>